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1F34E46E" w:rsidR="00E5402F" w:rsidRPr="003C2E05" w:rsidRDefault="005C05E5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994A72">
        <w:rPr>
          <w:rFonts w:ascii="Arial" w:hAnsi="Arial" w:cs="Arial"/>
          <w:b/>
          <w:bCs/>
          <w:noProof/>
          <w:color w:val="282A2E"/>
          <w:sz w:val="26"/>
          <w:szCs w:val="26"/>
        </w:rPr>
        <w:t>и</w:t>
      </w:r>
      <w:r w:rsidR="00663055">
        <w:rPr>
          <w:rFonts w:ascii="Arial" w:hAnsi="Arial" w:cs="Arial"/>
          <w:b/>
          <w:bCs/>
          <w:noProof/>
          <w:color w:val="282A2E"/>
          <w:sz w:val="26"/>
          <w:szCs w:val="26"/>
        </w:rPr>
        <w:t>юня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0D55E1B2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663055">
        <w:rPr>
          <w:rFonts w:ascii="Arial" w:hAnsi="Arial" w:cs="Arial"/>
          <w:b/>
          <w:bCs/>
          <w:noProof/>
          <w:color w:val="363194"/>
          <w:sz w:val="32"/>
          <w:szCs w:val="32"/>
        </w:rPr>
        <w:t>АПРЕЛЕ</w:t>
      </w:r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ED8C681" w14:textId="77777777" w:rsidR="00D80181" w:rsidRDefault="00D80181" w:rsidP="00D80181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E5D6D">
        <w:rPr>
          <w:rFonts w:ascii="Arial" w:hAnsi="Arial" w:cs="Arial"/>
          <w:b/>
          <w:bCs/>
          <w:color w:val="363194"/>
        </w:rPr>
        <w:t xml:space="preserve">Производство </w:t>
      </w:r>
      <w:r>
        <w:rPr>
          <w:rFonts w:ascii="Arial" w:hAnsi="Arial" w:cs="Arial"/>
          <w:b/>
          <w:bCs/>
          <w:color w:val="363194"/>
        </w:rPr>
        <w:t>отдельных видов продукции пищевой промышленности в г. Севастополе</w:t>
      </w:r>
      <w:r w:rsidRPr="008C4F77">
        <w:rPr>
          <w:rFonts w:ascii="Arial" w:hAnsi="Arial" w:cs="Arial"/>
          <w:b/>
          <w:bCs/>
          <w:color w:val="363194"/>
          <w:vertAlign w:val="superscript"/>
        </w:rPr>
        <w:t>1)</w:t>
      </w:r>
    </w:p>
    <w:p w14:paraId="46DFC3FA" w14:textId="27C685E7" w:rsidR="005C05E5" w:rsidRDefault="00D80181" w:rsidP="00EF73DB">
      <w:pPr>
        <w:ind w:firstLine="567"/>
        <w:jc w:val="both"/>
        <w:rPr>
          <w:rFonts w:ascii="Arial" w:hAnsi="Arial" w:cs="Arial"/>
        </w:rPr>
      </w:pPr>
      <w:r w:rsidRPr="00C93765">
        <w:rPr>
          <w:rFonts w:ascii="Arial" w:hAnsi="Arial" w:cs="Arial"/>
        </w:rPr>
        <w:t xml:space="preserve">В производстве </w:t>
      </w:r>
      <w:r w:rsidR="00B55945" w:rsidRPr="00B55945">
        <w:rPr>
          <w:rFonts w:ascii="Arial" w:hAnsi="Arial" w:cs="Arial"/>
        </w:rPr>
        <w:t>пищ</w:t>
      </w:r>
      <w:r w:rsidR="00AF3964">
        <w:rPr>
          <w:rFonts w:ascii="Arial" w:hAnsi="Arial" w:cs="Arial"/>
        </w:rPr>
        <w:t xml:space="preserve">евых продуктов в </w:t>
      </w:r>
      <w:r w:rsidR="00663055">
        <w:rPr>
          <w:rFonts w:ascii="Arial" w:hAnsi="Arial" w:cs="Arial"/>
        </w:rPr>
        <w:t>апреле</w:t>
      </w:r>
      <w:r w:rsidR="00AF3964">
        <w:rPr>
          <w:rFonts w:ascii="Arial" w:hAnsi="Arial" w:cs="Arial"/>
        </w:rPr>
        <w:t xml:space="preserve"> 2024 года по сравнению с </w:t>
      </w:r>
      <w:r w:rsidR="00663055">
        <w:rPr>
          <w:rFonts w:ascii="Arial" w:hAnsi="Arial" w:cs="Arial"/>
        </w:rPr>
        <w:t>апрелем</w:t>
      </w:r>
      <w:r w:rsidR="00AF3964">
        <w:rPr>
          <w:rFonts w:ascii="Arial" w:hAnsi="Arial" w:cs="Arial"/>
        </w:rPr>
        <w:t xml:space="preserve"> 2023 год</w:t>
      </w:r>
      <w:r w:rsidR="002F6A80">
        <w:rPr>
          <w:rFonts w:ascii="Arial" w:hAnsi="Arial" w:cs="Arial"/>
        </w:rPr>
        <w:t>а увеличилось</w:t>
      </w:r>
      <w:r w:rsidRPr="00C93765">
        <w:rPr>
          <w:rFonts w:ascii="Arial" w:hAnsi="Arial" w:cs="Arial"/>
        </w:rPr>
        <w:t xml:space="preserve"> производство:</w:t>
      </w:r>
      <w:r w:rsidRPr="00C93765">
        <w:t xml:space="preserve"> </w:t>
      </w:r>
      <w:r w:rsidR="00B55945" w:rsidRPr="00B55945">
        <w:rPr>
          <w:rFonts w:ascii="Arial" w:hAnsi="Arial" w:cs="Arial"/>
        </w:rPr>
        <w:t>воды мин</w:t>
      </w:r>
      <w:r w:rsidR="005C05E5">
        <w:rPr>
          <w:rFonts w:ascii="Arial" w:hAnsi="Arial" w:cs="Arial"/>
        </w:rPr>
        <w:t>еральной природной упакованной,</w:t>
      </w:r>
      <w:r w:rsidR="00600890">
        <w:rPr>
          <w:rFonts w:ascii="Arial" w:hAnsi="Arial" w:cs="Arial"/>
        </w:rPr>
        <w:t xml:space="preserve"> </w:t>
      </w:r>
      <w:r w:rsidR="00B55945" w:rsidRPr="00B55945">
        <w:rPr>
          <w:rFonts w:ascii="Arial" w:hAnsi="Arial" w:cs="Arial"/>
        </w:rPr>
        <w:t xml:space="preserve">воды питьевой упакованной, </w:t>
      </w:r>
      <w:r w:rsidR="00EF73DB">
        <w:rPr>
          <w:rFonts w:ascii="Arial" w:hAnsi="Arial" w:cs="Arial"/>
        </w:rPr>
        <w:br/>
      </w:r>
      <w:r w:rsidR="00B55945" w:rsidRPr="00B55945">
        <w:rPr>
          <w:rFonts w:ascii="Arial" w:hAnsi="Arial" w:cs="Arial"/>
        </w:rPr>
        <w:t>не содержащей са</w:t>
      </w:r>
      <w:bookmarkStart w:id="0" w:name="_GoBack"/>
      <w:bookmarkEnd w:id="0"/>
      <w:r w:rsidR="00B55945" w:rsidRPr="00B55945">
        <w:rPr>
          <w:rFonts w:ascii="Arial" w:hAnsi="Arial" w:cs="Arial"/>
        </w:rPr>
        <w:t xml:space="preserve">хара, подсластителей, ароматизаторов и других пищевых веществ на </w:t>
      </w:r>
      <w:r w:rsidR="00663055">
        <w:rPr>
          <w:rFonts w:ascii="Arial" w:hAnsi="Arial" w:cs="Arial"/>
        </w:rPr>
        <w:t>3603,3</w:t>
      </w:r>
      <w:r w:rsidR="00B55945" w:rsidRPr="00B55945">
        <w:rPr>
          <w:rFonts w:ascii="Arial" w:hAnsi="Arial" w:cs="Arial"/>
        </w:rPr>
        <w:t xml:space="preserve"> тыс. полулитров;</w:t>
      </w:r>
      <w:r w:rsidR="005C05E5" w:rsidRPr="005C05E5">
        <w:t xml:space="preserve"> </w:t>
      </w:r>
      <w:r w:rsidR="005C05E5">
        <w:rPr>
          <w:rFonts w:ascii="Arial" w:hAnsi="Arial" w:cs="Arial"/>
        </w:rPr>
        <w:t xml:space="preserve">изделий колбасных копчёных на </w:t>
      </w:r>
      <w:r w:rsidR="00663055">
        <w:rPr>
          <w:rFonts w:ascii="Arial" w:hAnsi="Arial" w:cs="Arial"/>
        </w:rPr>
        <w:t>15,5</w:t>
      </w:r>
      <w:r w:rsidR="005C05E5" w:rsidRPr="00B55945">
        <w:rPr>
          <w:rFonts w:ascii="Arial" w:hAnsi="Arial" w:cs="Arial"/>
        </w:rPr>
        <w:t xml:space="preserve"> тонн.</w:t>
      </w:r>
    </w:p>
    <w:p w14:paraId="277554A2" w14:textId="0E3F9F78" w:rsidR="00DE2EA3" w:rsidRDefault="00B55945" w:rsidP="007529DD">
      <w:pPr>
        <w:ind w:firstLine="567"/>
        <w:jc w:val="both"/>
        <w:rPr>
          <w:rFonts w:ascii="Arial" w:hAnsi="Arial" w:cs="Arial"/>
          <w:color w:val="282A2E"/>
        </w:rPr>
      </w:pPr>
      <w:r w:rsidRPr="00B55945">
        <w:rPr>
          <w:rFonts w:ascii="Arial" w:hAnsi="Arial" w:cs="Arial"/>
        </w:rPr>
        <w:t>Объем отгруженных товаров собственного производства, выполненных работ и услуг собственными силами</w:t>
      </w:r>
      <w:r w:rsidRPr="00B40546">
        <w:rPr>
          <w:rFonts w:ascii="Arial" w:hAnsi="Arial" w:cs="Arial"/>
          <w:vertAlign w:val="superscript"/>
        </w:rPr>
        <w:t>2)</w:t>
      </w:r>
      <w:r w:rsidR="00AF3964">
        <w:rPr>
          <w:rFonts w:ascii="Arial" w:hAnsi="Arial" w:cs="Arial"/>
        </w:rPr>
        <w:t xml:space="preserve"> за </w:t>
      </w:r>
      <w:r w:rsidR="00663055">
        <w:rPr>
          <w:rFonts w:ascii="Arial" w:hAnsi="Arial" w:cs="Arial"/>
        </w:rPr>
        <w:t>апрель</w:t>
      </w:r>
      <w:r w:rsidR="00AF3964">
        <w:rPr>
          <w:rFonts w:ascii="Arial" w:hAnsi="Arial" w:cs="Arial"/>
        </w:rPr>
        <w:t xml:space="preserve"> 2024 года</w:t>
      </w:r>
      <w:r w:rsidRPr="00B55945">
        <w:rPr>
          <w:rFonts w:ascii="Arial" w:hAnsi="Arial" w:cs="Arial"/>
        </w:rPr>
        <w:t xml:space="preserve"> на предприятиях обрабатывающих производств составил </w:t>
      </w:r>
      <w:r w:rsidR="00663055">
        <w:rPr>
          <w:rFonts w:ascii="Arial" w:hAnsi="Arial" w:cs="Arial"/>
        </w:rPr>
        <w:t>2419,5</w:t>
      </w:r>
      <w:r w:rsidRPr="00B55945">
        <w:rPr>
          <w:rFonts w:ascii="Arial" w:hAnsi="Arial" w:cs="Arial"/>
        </w:rPr>
        <w:t xml:space="preserve"> млн рублей, из них: в производстве пищевых продуктов – </w:t>
      </w:r>
      <w:r w:rsidR="00663055">
        <w:rPr>
          <w:rFonts w:ascii="Arial" w:hAnsi="Arial" w:cs="Arial"/>
        </w:rPr>
        <w:t>312,6</w:t>
      </w:r>
      <w:r w:rsidRPr="00B55945">
        <w:rPr>
          <w:rFonts w:ascii="Arial" w:hAnsi="Arial" w:cs="Arial"/>
        </w:rPr>
        <w:t xml:space="preserve"> млн рублей, напитков –</w:t>
      </w:r>
      <w:r w:rsidR="005F3017">
        <w:rPr>
          <w:rFonts w:ascii="Arial" w:hAnsi="Arial" w:cs="Arial"/>
        </w:rPr>
        <w:t xml:space="preserve">     </w:t>
      </w:r>
      <w:r w:rsidRPr="00B55945">
        <w:rPr>
          <w:rFonts w:ascii="Arial" w:hAnsi="Arial" w:cs="Arial"/>
        </w:rPr>
        <w:t xml:space="preserve"> </w:t>
      </w:r>
      <w:r w:rsidR="00663055">
        <w:rPr>
          <w:rFonts w:ascii="Arial" w:hAnsi="Arial" w:cs="Arial"/>
        </w:rPr>
        <w:t>378,3</w:t>
      </w:r>
      <w:r w:rsidRPr="00B55945">
        <w:rPr>
          <w:rFonts w:ascii="Arial" w:hAnsi="Arial" w:cs="Arial"/>
        </w:rPr>
        <w:t xml:space="preserve"> млн рублей.</w:t>
      </w:r>
    </w:p>
    <w:p w14:paraId="1AA8D8DD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A946974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0B8CD4AD" w14:textId="77777777" w:rsidR="002A2001" w:rsidRDefault="002A200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4C7B7F5" w14:textId="77777777" w:rsidR="002A2001" w:rsidRDefault="002A200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0A9E78CF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7C8D65BA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7848A2E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6554DFD3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BBF2DA2" w14:textId="77777777" w:rsidR="008673A1" w:rsidRDefault="008673A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0F73B265" w14:textId="77777777" w:rsidR="00EF73DB" w:rsidRDefault="00EF73DB" w:rsidP="00033BE0">
      <w:pPr>
        <w:jc w:val="both"/>
        <w:rPr>
          <w:rFonts w:ascii="Arial" w:hAnsi="Arial" w:cs="Arial"/>
          <w:color w:val="282A2E"/>
        </w:rPr>
      </w:pPr>
    </w:p>
    <w:p w14:paraId="6F4ECDA3" w14:textId="77777777" w:rsidR="00EF73DB" w:rsidRDefault="00EF73DB" w:rsidP="00033BE0">
      <w:pPr>
        <w:jc w:val="both"/>
        <w:rPr>
          <w:rFonts w:ascii="Arial" w:hAnsi="Arial" w:cs="Arial"/>
          <w:color w:val="282A2E"/>
        </w:rPr>
      </w:pPr>
    </w:p>
    <w:p w14:paraId="5BA35B15" w14:textId="77777777" w:rsidR="00C477CC" w:rsidRDefault="00C477CC" w:rsidP="00033BE0">
      <w:pPr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67811385" w14:textId="3D33D662" w:rsidR="00592A51" w:rsidRPr="00033BE0" w:rsidRDefault="00DE2EA3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F73D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262B3"/>
    <w:rsid w:val="00157CFB"/>
    <w:rsid w:val="001770CE"/>
    <w:rsid w:val="001E4C22"/>
    <w:rsid w:val="001F11DC"/>
    <w:rsid w:val="001F66AB"/>
    <w:rsid w:val="0021605C"/>
    <w:rsid w:val="00216178"/>
    <w:rsid w:val="002370CF"/>
    <w:rsid w:val="00240DA0"/>
    <w:rsid w:val="002A2001"/>
    <w:rsid w:val="002D799B"/>
    <w:rsid w:val="002E36A3"/>
    <w:rsid w:val="002E38E3"/>
    <w:rsid w:val="002E4066"/>
    <w:rsid w:val="002F43A8"/>
    <w:rsid w:val="002F6A80"/>
    <w:rsid w:val="003248EE"/>
    <w:rsid w:val="00365ACF"/>
    <w:rsid w:val="003872F7"/>
    <w:rsid w:val="003C2E05"/>
    <w:rsid w:val="003D3E56"/>
    <w:rsid w:val="003D505E"/>
    <w:rsid w:val="003D55DD"/>
    <w:rsid w:val="003E32BF"/>
    <w:rsid w:val="00401FF7"/>
    <w:rsid w:val="004066CA"/>
    <w:rsid w:val="00442CD1"/>
    <w:rsid w:val="00477840"/>
    <w:rsid w:val="004A63C4"/>
    <w:rsid w:val="0050523C"/>
    <w:rsid w:val="00523BB2"/>
    <w:rsid w:val="00592A51"/>
    <w:rsid w:val="005C05E5"/>
    <w:rsid w:val="005F3017"/>
    <w:rsid w:val="005F45B8"/>
    <w:rsid w:val="00600890"/>
    <w:rsid w:val="006315CC"/>
    <w:rsid w:val="0065063C"/>
    <w:rsid w:val="0065389D"/>
    <w:rsid w:val="00663055"/>
    <w:rsid w:val="006D0D8F"/>
    <w:rsid w:val="006D3A24"/>
    <w:rsid w:val="007238E9"/>
    <w:rsid w:val="007529DD"/>
    <w:rsid w:val="007579C9"/>
    <w:rsid w:val="00775478"/>
    <w:rsid w:val="007C439E"/>
    <w:rsid w:val="007C5BAA"/>
    <w:rsid w:val="0081278D"/>
    <w:rsid w:val="00813736"/>
    <w:rsid w:val="00826E1A"/>
    <w:rsid w:val="00830AC9"/>
    <w:rsid w:val="00831829"/>
    <w:rsid w:val="00843273"/>
    <w:rsid w:val="008673A1"/>
    <w:rsid w:val="008C4F77"/>
    <w:rsid w:val="008E5D6D"/>
    <w:rsid w:val="008F23CC"/>
    <w:rsid w:val="0090563B"/>
    <w:rsid w:val="00921D17"/>
    <w:rsid w:val="0094288E"/>
    <w:rsid w:val="00994A72"/>
    <w:rsid w:val="009C3F79"/>
    <w:rsid w:val="009C57DA"/>
    <w:rsid w:val="00A06F52"/>
    <w:rsid w:val="00A27F77"/>
    <w:rsid w:val="00A623A9"/>
    <w:rsid w:val="00AF3964"/>
    <w:rsid w:val="00B40546"/>
    <w:rsid w:val="00B4544A"/>
    <w:rsid w:val="00B55945"/>
    <w:rsid w:val="00B84188"/>
    <w:rsid w:val="00B859C4"/>
    <w:rsid w:val="00B95517"/>
    <w:rsid w:val="00BB403A"/>
    <w:rsid w:val="00BC1235"/>
    <w:rsid w:val="00BD3503"/>
    <w:rsid w:val="00BD7543"/>
    <w:rsid w:val="00C32AD1"/>
    <w:rsid w:val="00C477CC"/>
    <w:rsid w:val="00C965D0"/>
    <w:rsid w:val="00CA0225"/>
    <w:rsid w:val="00CA1678"/>
    <w:rsid w:val="00CA1919"/>
    <w:rsid w:val="00D01057"/>
    <w:rsid w:val="00D04954"/>
    <w:rsid w:val="00D55929"/>
    <w:rsid w:val="00D55ECE"/>
    <w:rsid w:val="00D80181"/>
    <w:rsid w:val="00DA01F7"/>
    <w:rsid w:val="00DA2A74"/>
    <w:rsid w:val="00DC3D74"/>
    <w:rsid w:val="00DE2EA3"/>
    <w:rsid w:val="00E5402F"/>
    <w:rsid w:val="00E71967"/>
    <w:rsid w:val="00EA5990"/>
    <w:rsid w:val="00EB16D0"/>
    <w:rsid w:val="00EB3806"/>
    <w:rsid w:val="00ED4A66"/>
    <w:rsid w:val="00EF73DB"/>
    <w:rsid w:val="00F35A65"/>
    <w:rsid w:val="00F37CFA"/>
    <w:rsid w:val="00F438E2"/>
    <w:rsid w:val="00F52E4C"/>
    <w:rsid w:val="00F66F7E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67D9A6F3"/>
  <w15:docId w15:val="{6A0FD14A-6C34-43A0-9FD0-87770900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BAF2-C059-427E-82BF-7EABB619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Устинова Анна Владимировна</cp:lastModifiedBy>
  <cp:revision>31</cp:revision>
  <cp:lastPrinted>2024-05-27T05:47:00Z</cp:lastPrinted>
  <dcterms:created xsi:type="dcterms:W3CDTF">2024-01-29T12:03:00Z</dcterms:created>
  <dcterms:modified xsi:type="dcterms:W3CDTF">2024-06-06T10:58:00Z</dcterms:modified>
</cp:coreProperties>
</file>